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media/image2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-142" w:right="0"/>
        <w:rPr>
          <w:rFonts w:ascii="Arial" w:hAnsi="Arial" w:cs="Arial"/>
          <w:b/>
          <w:bCs/>
          <w:sz w:val="32"/>
          <w:szCs w:val="32"/>
        </w:rPr>
      </w:pPr>
      <w:r>
        <w:rPr/>
        <w:drawing>
          <wp:inline distT="0" distB="0" distL="0" distR="0">
            <wp:extent cx="3147695" cy="1106805"/>
            <wp:effectExtent l="0" t="0" r="0" b="0"/>
            <wp:docPr id="1" name="_x005F_x0000_i10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i102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78" t="-1363" r="-478" b="-1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695" cy="110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 Black" w:ascii="Arial Black" w:hAnsi="Arial Black"/>
          <w:sz w:val="32"/>
          <w:szCs w:val="32"/>
        </w:rPr>
        <w:tab/>
        <w:tab/>
        <w:tab/>
        <w:t xml:space="preserve">      </w:t>
      </w:r>
      <w:r>
        <w:rPr>
          <w:rFonts w:cs="Arial" w:ascii="Arial" w:hAnsi="Arial"/>
          <w:b/>
          <w:bCs/>
          <w:sz w:val="32"/>
          <w:szCs w:val="32"/>
        </w:rPr>
        <w:t>ПРЕСС-РЕЛИЗ</w:t>
      </w:r>
    </w:p>
    <w:p>
      <w:pPr>
        <w:pStyle w:val="Normal"/>
        <w:spacing w:lineRule="auto" w:line="240" w:before="0" w:after="0"/>
        <w:ind w:left="-142" w:right="0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</w:r>
    </w:p>
    <w:p>
      <w:pPr>
        <w:pStyle w:val="BodyText"/>
        <w:ind w:right="0"/>
        <w:jc w:val="both"/>
        <w:rPr>
          <w:rFonts w:ascii="Arial" w:hAnsi="Arial" w:cs="Arial"/>
          <w:b/>
          <w:bCs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</w:r>
    </w:p>
    <w:p>
      <w:pPr>
        <w:pStyle w:val="BodyText"/>
        <w:ind w:right="0"/>
        <w:jc w:val="both"/>
        <w:rPr>
          <w:sz w:val="22"/>
          <w:szCs w:val="22"/>
        </w:rPr>
      </w:pPr>
      <w:r>
        <w:rPr>
          <w:rFonts w:cs="Arial" w:ascii="Arial" w:hAnsi="Arial"/>
          <w:sz w:val="32"/>
          <w:szCs w:val="32"/>
        </w:rPr>
        <w:t>С 2026 года граждане в досудебном порядке могут обжаловать приостановление регистрации прав на недвижимость</w:t>
      </w:r>
    </w:p>
    <w:p>
      <w:pPr>
        <w:pStyle w:val="BodyText"/>
        <w:ind w:righ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ind w:right="0"/>
        <w:jc w:val="both"/>
        <w:rPr>
          <w:rFonts w:ascii="Arial" w:hAnsi="Arial"/>
        </w:rPr>
      </w:pPr>
      <w:r>
        <w:rPr>
          <w:rFonts w:cs="Arial" w:ascii="Arial" w:hAnsi="Arial"/>
        </w:rPr>
        <w:t>С 1 января 2026 года у граждан появилась возможность досудебного обжалования решений о приостановлении государственной регистрации прав на недвижимое имущество. Ранее досудебный порядок обжалования действовал только в отношении решений о приостановлении кадастрового учета.</w:t>
      </w:r>
    </w:p>
    <w:p>
      <w:pPr>
        <w:pStyle w:val="BodyText"/>
        <w:ind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Заместитель руководителя Управления Росреестра по Тверской области Ольга Новосёлова:</w:t>
      </w:r>
      <w:r>
        <w:rPr>
          <w:rFonts w:ascii="Arial" w:hAnsi="Arial"/>
        </w:rPr>
        <w:t xml:space="preserve"> </w:t>
      </w:r>
      <w:r>
        <w:rPr>
          <w:rFonts w:ascii="Arial" w:hAnsi="Arial"/>
          <w:i/>
          <w:iCs/>
        </w:rPr>
        <w:t>«Данное нововведение направлено на защиту интересов правообладателей. Оно позволит урегулировать часть спорных решений по учетно-регистрационным действиям в досудебном порядке, а также поможет минимизировать судебные разбирательства. Деятельность комиссии направлена на защиту прав и законных интересов получателей услуг Росреестра».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Обжаловать решения о приостановлении государственного кадастрового учета недвижимого имущества и (или) государственной регистрации прав на недвижимое имущество, расположенное на территории Тверской области можно в апелляционной комиссии, созданной при Управлении Росреестра по Тверской области.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 xml:space="preserve">Состав членов </w:t>
      </w:r>
      <w:r>
        <w:rPr>
          <w:rFonts w:ascii="Arial" w:hAnsi="Arial"/>
        </w:rPr>
        <w:t>а</w:t>
      </w:r>
      <w:r>
        <w:rPr>
          <w:rFonts w:ascii="Arial" w:hAnsi="Arial"/>
        </w:rPr>
        <w:t>пелляционной комиссии утвержден распоряжением Росреестра и включает по четыре представителя от органа регистрации прав и кадастрового сообщества, которые подлежат ротации один раз в пять лет.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Основная задача комиссии — объективная оценка обоснованности решений, принимаемых государственными регистраторами и обеспечение соблюдения законодательства в сфере кадастровой деятельности. Заседания комиссии могут проводиться как в очной форме, так и в форме дистанционного участия. Заявление об обжаловании необходимо предоставить в течение 15 рабочих дней с даты принятия решения о приостановлении.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  <w:color w:val="C9211E"/>
        </w:rPr>
      </w:pPr>
      <w:r>
        <w:rPr>
          <w:rFonts w:ascii="Arial" w:hAnsi="Arial"/>
        </w:rPr>
        <w:t>Способы направления заявления в апелляционную комиссию:</w:t>
      </w:r>
    </w:p>
    <w:p>
      <w:pPr>
        <w:pStyle w:val="BodyText"/>
        <w:ind w:hanging="0" w:left="0" w:right="0"/>
        <w:jc w:val="both"/>
        <w:rPr>
          <w:color w:val="000000"/>
        </w:rPr>
      </w:pPr>
      <w:r>
        <w:rPr>
          <w:rFonts w:ascii="Arial" w:hAnsi="Arial"/>
          <w:color w:val="000000"/>
        </w:rPr>
        <w:t>- в электронной форме: через Единый портал государственных и муниципальных услуг или сервис «Личный кабинет кадастрового инженера» на сайте Росреестра;</w:t>
      </w:r>
    </w:p>
    <w:p>
      <w:pPr>
        <w:pStyle w:val="BodyText"/>
        <w:ind w:hanging="0" w:left="0" w:right="0"/>
        <w:jc w:val="both"/>
        <w:rPr>
          <w:rFonts w:ascii="Arial" w:hAnsi="Arial"/>
          <w:color w:val="C9211E"/>
        </w:rPr>
      </w:pPr>
      <w:r>
        <w:rPr>
          <w:rFonts w:ascii="Arial" w:hAnsi="Arial"/>
          <w:color w:val="C9211E"/>
        </w:rPr>
      </w:r>
    </w:p>
    <w:p>
      <w:pPr>
        <w:pStyle w:val="BodyText"/>
        <w:ind w:hanging="0" w:left="0" w:right="0"/>
        <w:jc w:val="both"/>
        <w:rPr/>
      </w:pPr>
      <w:r>
        <w:rPr>
          <w:rFonts w:ascii="Arial" w:hAnsi="Arial"/>
        </w:rPr>
        <w:t>- в письменной форме: при личном обращении или почтовым отправлением. Адрес для направления заявлений в апелляционную комиссию при Управлении Росреестра по Тверской области: 170100, г. Тверь, Свободный пер., д. 2.</w:t>
      </w:r>
    </w:p>
    <w:p>
      <w:pPr>
        <w:pStyle w:val="BodyText"/>
        <w:ind w:hanging="0" w:left="0" w:right="0"/>
        <w:jc w:val="both"/>
        <w:rPr/>
      </w:pPr>
      <w:r>
        <w:rPr/>
      </w:r>
    </w:p>
    <w:p>
      <w:pPr>
        <w:pStyle w:val="BodyText"/>
        <w:ind w:hanging="0" w:left="0" w:right="0"/>
        <w:jc w:val="both"/>
        <w:rPr>
          <w:rFonts w:ascii="Arial" w:hAnsi="Arial"/>
          <w:color w:val="FF0000"/>
        </w:rPr>
      </w:pPr>
      <w:r>
        <w:rPr>
          <w:rFonts w:ascii="Arial" w:hAnsi="Arial"/>
        </w:rPr>
        <w:t xml:space="preserve">Форма заявления, утвержденная Приказом Росреестра от 01.07.2025 № П/0237/25,  </w:t>
      </w:r>
      <w:r>
        <w:rPr>
          <w:rFonts w:ascii="Arial" w:hAnsi="Arial"/>
          <w:color w:themeColor="text1" w:val="000000"/>
        </w:rPr>
        <w:t xml:space="preserve">размещена на сайте Росреестра в разделе «Деятельность» - «Государственные услуги и функции» - «Апелляционные комиссии». При подаче </w:t>
      </w:r>
      <w:r>
        <w:rPr>
          <w:rFonts w:ascii="Arial" w:hAnsi="Arial"/>
        </w:rPr>
        <w:t xml:space="preserve">заявления необходимо указать сведения о заявителе, сведения о кадастровом инженере, который подготовил межевой, технический план или акт обследования, реквизиты обжалуемого решения и обоснование своей позиции. 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При рассмотрении заявлений об обжаловании апелляционная комиссия будет оценивать обоснованность принятия решения о приостановлении и, при необходимости, запрашивать необходимые документы и материалы. Решение об удовлетворении или отклонении заявления должно быть принято в срок не более 15 рабочих дней со дня его регистрации. Результат будет направляться заявителю.</w:t>
      </w:r>
    </w:p>
    <w:p>
      <w:pPr>
        <w:pStyle w:val="BodyText"/>
        <w:ind w:hanging="0" w:left="0" w:right="0"/>
        <w:jc w:val="both"/>
        <w:rPr>
          <w:rFonts w:ascii="Times New Roman" w:hAnsi="Times New Roman" w:eastAsia="Times New Roman" w:cs="Times New Roman"/>
          <w:b w:val="false"/>
          <w:bCs w:val="false"/>
          <w:color w:val="FF0000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FF0000"/>
          <w:sz w:val="28"/>
          <w:szCs w:val="28"/>
        </w:rPr>
        <w:t xml:space="preserve"> </w:t>
      </w:r>
    </w:p>
    <w:p>
      <w:pPr>
        <w:pStyle w:val="BodyText"/>
        <w:ind w:hanging="0" w:left="0" w:right="0"/>
        <w:jc w:val="both"/>
        <w:rPr>
          <w:rFonts w:ascii="Arial" w:hAnsi="Arial" w:cs="Arial"/>
          <w:color w:val="auto"/>
          <w:sz w:val="22"/>
          <w:szCs w:val="22"/>
          <w:highlight w:val="none"/>
        </w:rPr>
      </w:pPr>
      <w:r>
        <w:rPr>
          <w:rFonts w:eastAsia="Arial" w:cs="Arial" w:ascii="Arial" w:hAnsi="Arial"/>
          <w:b w:val="false"/>
          <w:bCs w:val="false"/>
          <w:color w:val="auto"/>
          <w:sz w:val="22"/>
          <w:szCs w:val="22"/>
        </w:rPr>
        <w:t>Решение апелляционной комиссии об отклонении заявления может быть обжаловано в суде в порядке административного судопроизводства одновременно с обжалованием решения о приостановлении.</w:t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ind w:hanging="0" w:left="0" w:right="0"/>
        <w:jc w:val="both"/>
        <w:rPr>
          <w:rFonts w:ascii="Arial" w:hAnsi="Arial"/>
        </w:rPr>
      </w:pPr>
      <w:r>
        <w:rPr>
          <w:rFonts w:ascii="Arial" w:hAnsi="Arial"/>
        </w:rPr>
        <w:t>Стоит отметить, что повторное обжалование одного и того же решения комиссией не допускается. Кроме того, комиссия откажет в принятии заявления, если решение уже оспаривается в суде.</w:t>
      </w:r>
    </w:p>
    <w:p>
      <w:pPr>
        <w:pStyle w:val="Normal"/>
        <w:spacing w:lineRule="auto" w:line="240" w:before="0" w:after="0"/>
        <w:jc w:val="both"/>
        <w:rPr/>
      </w:pPr>
      <w:r>
        <w:rPr/>
        <w:drawing>
          <wp:inline distT="0" distB="0" distL="0" distR="0">
            <wp:extent cx="6055360" cy="17780"/>
            <wp:effectExtent l="0" t="0" r="0" b="0"/>
            <wp:docPr id="2" name="_x005F_x0000_i10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1028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305" t="-100000" r="-305" b="-10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360" cy="1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b/>
          <w:bCs/>
          <w:sz w:val="20"/>
          <w:szCs w:val="20"/>
          <w:lang w:eastAsia="ru-RU"/>
        </w:rPr>
      </w:pPr>
      <w:r>
        <mc:AlternateContent>
          <mc:Choice Requires="wps">
            <w:drawing>
              <wp:anchor behindDoc="0" distT="8890" distB="6985" distL="8255" distR="0" simplePos="0" locked="0" layoutInCell="1" allowOverlap="1" relativeHeight="4">
                <wp:simplePos x="0" y="0"/>
                <wp:positionH relativeFrom="column">
                  <wp:posOffset>-108585</wp:posOffset>
                </wp:positionH>
                <wp:positionV relativeFrom="paragraph">
                  <wp:posOffset>50800</wp:posOffset>
                </wp:positionV>
                <wp:extent cx="6000750" cy="635"/>
                <wp:effectExtent l="8255" t="8890" r="0" b="6985"/>
                <wp:wrapNone/>
                <wp:docPr id="3" name="_x005F_x0000_s10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840" cy="720"/>
                        </a:xfrm>
                        <a:custGeom>
                          <a:avLst/>
                          <a:gdLst>
                            <a:gd name="textAreaLeft" fmla="*/ 0 w 3402000"/>
                            <a:gd name="textAreaRight" fmla="*/ 3402720 w 3402000"/>
                            <a:gd name="textAreaTop" fmla="*/ 0 h 360"/>
                            <a:gd name="textAreaBottom" fmla="*/ 1440 h 360"/>
                          </a:gdLst>
                          <a:ahLst/>
                          <a:rect l="textAreaLeft" t="textAreaTop" r="textAreaRight" b="textAreaBottom"/>
                          <a:pathLst>
                            <a:path w="1" h="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5839">
                          <a:solidFill>
                            <a:srgbClr val="0070c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Arial" w:ascii="Arial" w:hAnsi="Arial"/>
          <w:b/>
          <w:bCs/>
          <w:sz w:val="20"/>
          <w:szCs w:val="20"/>
          <w:lang w:eastAsia="ru-RU"/>
        </w:rPr>
        <w:t>О Росреестре</w:t>
      </w:r>
    </w:p>
    <w:p>
      <w:pPr>
        <w:pStyle w:val="Normal"/>
        <w:spacing w:lineRule="auto" w:line="240" w:before="0" w:after="0"/>
        <w:jc w:val="both"/>
        <w:rPr>
          <w:rFonts w:ascii="Arial" w:hAnsi="Arial" w:cs="Arial"/>
          <w:sz w:val="20"/>
          <w:szCs w:val="20"/>
          <w:lang w:eastAsia="ru-RU"/>
        </w:rPr>
      </w:pPr>
      <w:r>
        <w:rPr>
          <w:rFonts w:cs="Arial" w:ascii="Arial" w:hAnsi="Arial"/>
          <w:b/>
          <w:bCs/>
          <w:sz w:val="20"/>
          <w:szCs w:val="20"/>
          <w:lang w:eastAsia="ru-RU"/>
        </w:rPr>
        <w:t> </w:t>
      </w:r>
    </w:p>
    <w:p>
      <w:pPr>
        <w:pStyle w:val="Normal"/>
        <w:spacing w:lineRule="auto" w:line="240" w:before="0" w:after="0"/>
        <w:jc w:val="both"/>
        <w:rPr>
          <w:rFonts w:ascii="Segoe UI" w:hAnsi="Segoe UI" w:eastAsia="Arial Unicode MS" w:cs="Segoe UI"/>
          <w:b/>
          <w:bCs/>
          <w:sz w:val="20"/>
          <w:szCs w:val="20"/>
          <w:lang w:eastAsia="sk-SK"/>
        </w:rPr>
      </w:pPr>
      <w:r>
        <w:rPr>
          <w:rFonts w:cs="Arial" w:ascii="Arial" w:hAnsi="Arial"/>
          <w:sz w:val="20"/>
          <w:szCs w:val="20"/>
          <w:lang w:eastAsia="ru-RU"/>
        </w:rPr>
        <w:t>Федеральная служба государственной регистрации, кадастра и картографии (Росреестр) – федеральный орган исполнительной власти, осуществляет функции по государственной регистрации прав на недвижимое имущество и сделок с ним, по проведению государственного кадастрового учёта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</w:t>
      </w:r>
    </w:p>
    <w:p>
      <w:pPr>
        <w:pStyle w:val="Normal"/>
        <w:spacing w:lineRule="auto" w:line="240" w:before="0" w:after="0"/>
        <w:jc w:val="both"/>
        <w:rPr>
          <w:rFonts w:ascii="Segoe UI" w:hAnsi="Segoe UI" w:eastAsia="Arial Unicode MS" w:cs="Segoe UI"/>
          <w:b/>
          <w:bCs/>
          <w:sz w:val="20"/>
          <w:szCs w:val="20"/>
          <w:lang w:eastAsia="sk-SK"/>
        </w:rPr>
      </w:pPr>
      <w:r>
        <w:rPr>
          <w:rFonts w:eastAsia="Arial Unicode MS" w:cs="Segoe UI" w:ascii="Segoe UI" w:hAnsi="Segoe UI"/>
          <w:b/>
          <w:bCs/>
          <w:sz w:val="20"/>
          <w:szCs w:val="20"/>
          <w:lang w:eastAsia="sk-SK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/>
          <w:bCs/>
          <w:sz w:val="18"/>
          <w:szCs w:val="18"/>
          <w:lang w:eastAsia="sk-SK"/>
        </w:rPr>
        <w:t>Контакты для СМИ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  <w:t>Макарова Елена Сергеевна,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  <w:t xml:space="preserve">помощник руководителя 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  <w:t>Управления Росреестра по Тверской области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  <w:t>+7 909 268 33 77, (4822) 47 73 34 (доб. 1010)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</w:r>
    </w:p>
    <w:p>
      <w:pPr>
        <w:pStyle w:val="Normal"/>
        <w:widowControl w:val="false"/>
        <w:spacing w:lineRule="auto" w:line="240" w:before="0" w:after="0"/>
        <w:jc w:val="both"/>
        <w:rPr/>
      </w:pPr>
      <w:hyperlink r:id="rId4">
        <w:r>
          <w:rPr>
            <w:rStyle w:val="Hyperlink"/>
            <w:rFonts w:eastAsia="Arial Unicode MS" w:cs="Segoe UI" w:ascii="Segoe UI" w:hAnsi="Segoe UI"/>
            <w:sz w:val="18"/>
            <w:szCs w:val="18"/>
            <w:lang w:eastAsia="sk-SK"/>
          </w:rPr>
          <w:t>69_press_rosreestr@mail.ru</w:t>
        </w:r>
      </w:hyperlink>
    </w:p>
    <w:p>
      <w:pPr>
        <w:pStyle w:val="Normal"/>
        <w:widowControl w:val="false"/>
        <w:spacing w:lineRule="auto" w:line="240" w:before="0" w:after="0"/>
        <w:jc w:val="both"/>
        <w:rPr/>
      </w:pPr>
      <w:hyperlink r:id="rId5">
        <w:r>
          <w:rPr>
            <w:rStyle w:val="Hyperlink"/>
            <w:rFonts w:cs="Segoe UI" w:ascii="Segoe UI" w:hAnsi="Segoe UI"/>
            <w:sz w:val="18"/>
            <w:szCs w:val="18"/>
          </w:rPr>
          <w:t>https://rosreestr.gov.ru/site/</w:t>
        </w:r>
      </w:hyperlink>
    </w:p>
    <w:p>
      <w:pPr>
        <w:pStyle w:val="Normal"/>
        <w:widowControl w:val="false"/>
        <w:spacing w:lineRule="auto" w:line="240" w:before="0" w:after="0"/>
        <w:jc w:val="both"/>
        <w:rPr/>
      </w:pPr>
      <w:hyperlink r:id="rId6">
        <w:r>
          <w:rPr>
            <w:rStyle w:val="Hyperlink"/>
            <w:rFonts w:eastAsia="Arial Unicode MS" w:cs="Segoe UI" w:ascii="Segoe UI" w:hAnsi="Segoe UI"/>
            <w:sz w:val="18"/>
            <w:szCs w:val="18"/>
            <w:lang w:val="en-US" w:eastAsia="sk-SK"/>
          </w:rPr>
          <w:t>https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eastAsia="sk-SK"/>
          </w:rPr>
          <w:t>://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val="en-US" w:eastAsia="sk-SK"/>
          </w:rPr>
          <w:t>vk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eastAsia="sk-SK"/>
          </w:rPr>
          <w:t>.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val="en-US" w:eastAsia="sk-SK"/>
          </w:rPr>
          <w:t>com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eastAsia="sk-SK"/>
          </w:rPr>
          <w:t>/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val="en-US" w:eastAsia="sk-SK"/>
          </w:rPr>
          <w:t>rosreestr</w:t>
        </w:r>
        <w:r>
          <w:rPr>
            <w:rStyle w:val="Hyperlink"/>
            <w:rFonts w:eastAsia="Arial Unicode MS" w:cs="Segoe UI" w:ascii="Segoe UI" w:hAnsi="Segoe UI"/>
            <w:sz w:val="18"/>
            <w:szCs w:val="18"/>
            <w:lang w:eastAsia="sk-SK"/>
          </w:rPr>
          <w:t>69</w:t>
        </w:r>
      </w:hyperlink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hyperlink r:id="rId7">
        <w:r>
          <w:rPr>
            <w:rStyle w:val="Hyperlink"/>
            <w:rFonts w:eastAsia="Arial Unicode MS" w:cs="Segoe UI" w:ascii="Segoe UI" w:hAnsi="Segoe UI"/>
            <w:bCs/>
            <w:sz w:val="18"/>
            <w:szCs w:val="18"/>
            <w:lang w:eastAsia="sk-SK"/>
          </w:rPr>
          <w:t>https://t.me/rosreestr69</w:t>
        </w:r>
      </w:hyperlink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  <w:t>170100, Тверь, Свободный пер., д. 2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Segoe UI" w:hAnsi="Segoe UI" w:eastAsia="Arial Unicode MS" w:cs="Segoe UI"/>
          <w:bCs/>
          <w:sz w:val="18"/>
          <w:szCs w:val="18"/>
          <w:lang w:eastAsia="sk-SK"/>
        </w:rPr>
      </w:pPr>
      <w:r>
        <w:rPr>
          <w:rFonts w:eastAsia="Arial Unicode MS" w:cs="Segoe UI" w:ascii="Segoe UI" w:hAnsi="Segoe UI"/>
          <w:bCs/>
          <w:sz w:val="18"/>
          <w:szCs w:val="18"/>
          <w:lang w:eastAsia="sk-SK"/>
        </w:rPr>
      </w:r>
    </w:p>
    <w:sectPr>
      <w:headerReference w:type="default" r:id="rId8"/>
      <w:footerReference w:type="default" r:id="rId9"/>
      <w:type w:val="nextPage"/>
      <w:pgSz w:w="11906" w:h="16838"/>
      <w:pgMar w:left="1701" w:right="850" w:gutter="0" w:header="708" w:top="1134" w:footer="708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1"/>
    <w:family w:val="roman"/>
    <w:pitch w:val="variable"/>
  </w:font>
  <w:font w:name="Tahoma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ource Serif Pro">
    <w:charset w:val="01"/>
    <w:family w:val="roman"/>
    <w:pitch w:val="variable"/>
  </w:font>
  <w:font w:name="Arial Black">
    <w:charset w:val="01"/>
    <w:family w:val="roman"/>
    <w:pitch w:val="variable"/>
  </w:font>
  <w:font w:name="Segoe U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pStyle w:val="Heading2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Noto Sans Devanagari"/>
      <w:color w:val="auto"/>
      <w:kern w:val="0"/>
      <w:sz w:val="22"/>
      <w:szCs w:val="22"/>
      <w:lang w:val="ru-RU" w:eastAsia="zh-CN" w:bidi="ar-SA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Heading2">
    <w:name w:val="Heading 2"/>
    <w:basedOn w:val="11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WW8Num2z0">
    <w:name w:val="WW8Num2z0"/>
    <w:qFormat/>
    <w:rPr>
      <w:rFonts w:ascii="Symbol" w:hAnsi="Symbol" w:cs="OpenSymbol"/>
    </w:rPr>
  </w:style>
  <w:style w:type="character" w:styleId="Style7">
    <w:name w:val="Основной шрифт абзаца"/>
    <w:qFormat/>
    <w:rPr/>
  </w:style>
  <w:style w:type="character" w:styleId="DefaultParagraphFont" w:default="1">
    <w:name w:val="Default Paragraph Font"/>
    <w:qFormat/>
    <w:rPr/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1">
    <w:name w:val="Заголовок 1 Знак"/>
    <w:qFormat/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Emphasis">
    <w:name w:val="Emphasis"/>
    <w:qFormat/>
    <w:rPr>
      <w:i/>
      <w:iCs/>
    </w:rPr>
  </w:style>
  <w:style w:type="character" w:styleId="Style9">
    <w:name w:val="Верхний колонтитул Знак"/>
    <w:basedOn w:val="DefaultParagraphFont"/>
    <w:qFormat/>
    <w:rPr/>
  </w:style>
  <w:style w:type="character" w:styleId="Style10">
    <w:name w:val="Нижний колонтитул Знак"/>
    <w:basedOn w:val="DefaultParagraphFont"/>
    <w:qFormat/>
    <w:rPr/>
  </w:style>
  <w:style w:type="character" w:styleId="2">
    <w:name w:val="Основной текст с отступом 2 Знак"/>
    <w:qFormat/>
    <w:rPr>
      <w:rFonts w:ascii="Times New Roman" w:hAnsi="Times New Roman" w:eastAsia="Times New Roman" w:cs="Times New Roman"/>
      <w:sz w:val="28"/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FontStyle18">
    <w:name w:val="Font Style18"/>
    <w:qFormat/>
    <w:rPr>
      <w:rFonts w:ascii="Times New Roman" w:hAnsi="Times New Roman" w:cs="Times New Roman"/>
      <w:sz w:val="24"/>
      <w:szCs w:val="24"/>
    </w:rPr>
  </w:style>
  <w:style w:type="character" w:styleId="Apple-converted-space">
    <w:name w:val="apple-converted-space"/>
    <w:basedOn w:val="DefaultParagraphFont"/>
    <w:qFormat/>
    <w:rPr/>
  </w:style>
  <w:style w:type="character" w:styleId="DefaultParagraphFont1">
    <w:name w:val="Default Paragraph Font1"/>
    <w:qFormat/>
    <w:rPr/>
  </w:style>
  <w:style w:type="character" w:styleId="Style11">
    <w:name w:val="Маркеры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 Devanagari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4">
    <w:name w:val="Название объекта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Noto Sans Devanagari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pic-bodycontent-text">
    <w:name w:val="topic-body__content-text"/>
    <w:basedOn w:val="Normal"/>
    <w:qFormat/>
    <w:pPr>
      <w:spacing w:lineRule="auto" w:line="240" w:before="280" w:after="300"/>
    </w:pPr>
    <w:rPr>
      <w:rFonts w:ascii="Source Serif Pro" w:hAnsi="Source Serif Pro" w:eastAsia="Times New Roman" w:cs="Times New Roman"/>
      <w:color w:val="292929"/>
      <w:sz w:val="26"/>
      <w:szCs w:val="26"/>
    </w:rPr>
  </w:style>
  <w:style w:type="paragraph" w:styleId="BodyTextIndent2">
    <w:name w:val="Body Text Indent 2"/>
    <w:basedOn w:val="Normal"/>
    <w:qFormat/>
    <w:pPr>
      <w:spacing w:lineRule="auto" w:line="240" w:before="0" w:after="0"/>
      <w:ind w:firstLine="720" w:left="0" w:right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Rtejustify">
    <w:name w:val="rtejustify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BodyTextFirstIndent">
    <w:name w:val="Body Text First Indent"/>
    <w:basedOn w:val="Normal"/>
    <w:pPr>
      <w:spacing w:before="0" w:after="0"/>
      <w:ind w:firstLine="709" w:left="0" w:right="0"/>
      <w:jc w:val="both"/>
    </w:pPr>
    <w:rPr/>
  </w:style>
  <w:style w:type="paragraph" w:styleId="Standard">
    <w:name w:val="Standard"/>
    <w:qFormat/>
    <w:pPr>
      <w:widowControl w:val="false"/>
      <w:suppressAutoHyphens w:val="true"/>
      <w:bidi w:val="0"/>
      <w:spacing w:lineRule="auto" w:line="276" w:before="0" w:after="0"/>
      <w:jc w:val="left"/>
    </w:pPr>
    <w:rPr>
      <w:rFonts w:ascii="Liberation Serif" w:hAnsi="Liberation Serif" w:eastAsia="Segoe UI" w:cs="Tahoma"/>
      <w:color w:val="000000"/>
      <w:kern w:val="0"/>
      <w:sz w:val="24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table" w:styleId="727">
    <w:name w:val="Table Grid"/>
    <w:basedOn w:val="87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30">
    <w:name w:val="Plain Table 2"/>
    <w:basedOn w:val="87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31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32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3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5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6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7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8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9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0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41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5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6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7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8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9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0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1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2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3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4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5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57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58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59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60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63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64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65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66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67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68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69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70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71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72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73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74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75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76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7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8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9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0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1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2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83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7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1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2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3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4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5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6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7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8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9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0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11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2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3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4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5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6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7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18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19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21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22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23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24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25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26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27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28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29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30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31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32">
    <w:name w:val="Lined - Accent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33">
    <w:name w:val="Lined - Accent 1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4">
    <w:name w:val="Lined - Accent 2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5">
    <w:name w:val="Lined - Accent 3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36">
    <w:name w:val="Lined - Accent 4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37">
    <w:name w:val="Lined - Accent 5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38">
    <w:name w:val="Lined - Accent 6"/>
    <w:basedOn w:val="8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39">
    <w:name w:val="Bordered &amp; Lined - Accent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40">
    <w:name w:val="Bordered &amp; Lined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41">
    <w:name w:val="Bordered &amp; Lined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42">
    <w:name w:val="Bordered &amp; Lined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43">
    <w:name w:val="Bordered &amp; Lined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44">
    <w:name w:val="Bordered &amp; Lined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45">
    <w:name w:val="Bordered &amp; Lined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46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47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49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50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51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52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870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69_press_rosreestr@mail.ru" TargetMode="External"/><Relationship Id="rId5" Type="http://schemas.openxmlformats.org/officeDocument/2006/relationships/hyperlink" Target="https://rosreestr.gov.ru/site/" TargetMode="External"/><Relationship Id="rId6" Type="http://schemas.openxmlformats.org/officeDocument/2006/relationships/hyperlink" Target="https://vk.com/rosreestr69" TargetMode="External"/><Relationship Id="rId7" Type="http://schemas.openxmlformats.org/officeDocument/2006/relationships/hyperlink" Target="https://t.me/rosreestr69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LibreOffice/7.6.4.1$Linux_X86_64 LibreOffice_project/e19e193f88cd6c0525a17fb7a176ed8e6a3e2aa1</Application>
  <AppVersion>15.0000</AppVersion>
  <Pages>2</Pages>
  <Words>508</Words>
  <Characters>3799</Characters>
  <CharactersWithSpaces>4297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2025-02-04T07:07:00Z</dcterms:created>
  <dc:creator>shchukina_i</dc:creator>
  <dc:description/>
  <dc:language>ru-RU</dc:language>
  <cp:lastModifiedBy/>
  <dcterms:modified xsi:type="dcterms:W3CDTF">2026-02-03T16:41:40Z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